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9E4C" w14:textId="0C0A8316" w:rsidR="00292229" w:rsidRDefault="00292229" w:rsidP="00292229">
      <w:pPr>
        <w:pStyle w:val="Heading3"/>
        <w:rPr>
          <w:rFonts w:cs="Arial"/>
          <w:szCs w:val="22"/>
        </w:rPr>
      </w:pPr>
      <w:bookmarkStart w:id="0" w:name="_Toc56014419"/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68BE9A5" wp14:editId="2269C95A">
            <wp:simplePos x="0" y="0"/>
            <wp:positionH relativeFrom="column">
              <wp:posOffset>6049282</wp:posOffset>
            </wp:positionH>
            <wp:positionV relativeFrom="paragraph">
              <wp:posOffset>168003</wp:posOffset>
            </wp:positionV>
            <wp:extent cx="515389" cy="5153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2"/>
        </w:rPr>
        <w:t>Elermore Vale Public School</w:t>
      </w:r>
    </w:p>
    <w:p w14:paraId="6F3EE467" w14:textId="541A325A" w:rsidR="00292229" w:rsidRPr="000F13A7" w:rsidRDefault="00292229" w:rsidP="00292229">
      <w:pPr>
        <w:pStyle w:val="Heading3"/>
        <w:rPr>
          <w:rFonts w:cs="Arial"/>
        </w:rPr>
      </w:pPr>
      <w:r w:rsidRPr="000F13A7">
        <w:rPr>
          <w:rFonts w:cs="Arial"/>
          <w:szCs w:val="22"/>
        </w:rPr>
        <w:t>Preschool payment of fees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5"/>
        <w:gridCol w:w="2692"/>
        <w:gridCol w:w="5726"/>
      </w:tblGrid>
      <w:tr w:rsidR="00292229" w:rsidRPr="000F13A7" w14:paraId="6FC36D29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14:paraId="5ACD42B8" w14:textId="77777777" w:rsidR="00292229" w:rsidRPr="000F13A7" w:rsidRDefault="00292229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92" w:type="dxa"/>
            <w:shd w:val="clear" w:color="auto" w:fill="002060"/>
          </w:tcPr>
          <w:p w14:paraId="0F857E10" w14:textId="77777777" w:rsidR="00292229" w:rsidRPr="000F13A7" w:rsidRDefault="00292229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6" w:type="dxa"/>
            <w:shd w:val="clear" w:color="auto" w:fill="002060"/>
          </w:tcPr>
          <w:p w14:paraId="0F41F0E6" w14:textId="77777777" w:rsidR="00292229" w:rsidRPr="000F13A7" w:rsidRDefault="00292229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292229" w:rsidRPr="000F13A7" w14:paraId="324EFF8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448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7B3" w14:textId="77777777" w:rsidR="00292229" w:rsidRPr="000F13A7" w:rsidRDefault="00292229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3D4" w14:textId="77777777" w:rsidR="00292229" w:rsidRPr="000F13A7" w:rsidRDefault="002947E3" w:rsidP="000A5D3A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9" w:history="1">
              <w:r w:rsidR="00292229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617D6F86" w14:textId="77777777" w:rsidR="00292229" w:rsidRPr="000F13A7" w:rsidRDefault="002947E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0">
              <w:r w:rsidR="00292229" w:rsidRPr="000F13A7">
                <w:rPr>
                  <w:rStyle w:val="Hyperlink"/>
                  <w:rFonts w:eastAsia="Arial" w:cs="Arial"/>
                  <w:sz w:val="22"/>
                  <w:szCs w:val="22"/>
                </w:rPr>
                <w:t>Preschool Class Fees in Government Schools</w:t>
              </w:r>
            </w:hyperlink>
          </w:p>
          <w:p w14:paraId="242C5AC6" w14:textId="77777777" w:rsidR="00292229" w:rsidRPr="000F13A7" w:rsidRDefault="002947E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1" w:anchor="Section_133" w:history="1">
              <w:r w:rsidR="00292229" w:rsidRPr="000F13A7">
                <w:rPr>
                  <w:rStyle w:val="Hyperlink"/>
                  <w:rFonts w:cs="Arial"/>
                  <w:sz w:val="22"/>
                  <w:szCs w:val="22"/>
                </w:rPr>
                <w:t>FISH - Finance in schools handbook: Section 13: Preschools</w:t>
              </w:r>
            </w:hyperlink>
          </w:p>
          <w:p w14:paraId="54A31168" w14:textId="77777777" w:rsidR="00292229" w:rsidRPr="000F13A7" w:rsidRDefault="002947E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2" w:tooltip="Voluntary School Contributions Policy" w:history="1">
              <w:r w:rsidR="00292229" w:rsidRPr="000F13A7">
                <w:rPr>
                  <w:rStyle w:val="Hyperlink"/>
                  <w:rFonts w:cs="Arial"/>
                  <w:sz w:val="22"/>
                </w:rPr>
                <w:t>Voluntary School Contributions Policy</w:t>
              </w:r>
            </w:hyperlink>
          </w:p>
          <w:p w14:paraId="0EDF9475" w14:textId="77777777" w:rsidR="00292229" w:rsidRPr="000F13A7" w:rsidRDefault="002947E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3" w:anchor="Preschool5" w:history="1">
              <w:r w:rsidR="00292229" w:rsidRPr="000F13A7">
                <w:rPr>
                  <w:rStyle w:val="Hyperlink"/>
                  <w:rFonts w:cs="Arial"/>
                  <w:sz w:val="22"/>
                </w:rPr>
                <w:t>Preschool fees schedule</w:t>
              </w:r>
            </w:hyperlink>
          </w:p>
        </w:tc>
      </w:tr>
      <w:tr w:rsidR="00292229" w:rsidRPr="000F13A7" w14:paraId="76765C9A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1BADD2A2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292229" w:rsidRPr="000F13A7" w14:paraId="58EC3B8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249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 xml:space="preserve"> </w:t>
            </w:r>
          </w:p>
        </w:tc>
      </w:tr>
      <w:tr w:rsidR="00292229" w:rsidRPr="000F13A7" w14:paraId="40FD4A9D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79B572AD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292229" w:rsidRPr="000F13A7" w14:paraId="1CF32D1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34F0" w14:textId="77777777" w:rsidR="00292229" w:rsidRPr="000F13A7" w:rsidRDefault="00292229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180FB51B" w14:textId="6F5B3B56" w:rsidR="00292229" w:rsidRPr="000F13A7" w:rsidRDefault="00292229" w:rsidP="000A5D3A">
            <w:pPr>
              <w:spacing w:line="276" w:lineRule="auto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F16" w14:textId="77777777" w:rsidR="00292229" w:rsidRPr="000F13A7" w:rsidRDefault="00292229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744F4442" w14:textId="77777777" w:rsidR="00292229" w:rsidRPr="000F13A7" w:rsidRDefault="00292229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1FFA8CF1" w14:textId="77777777" w:rsidR="00292229" w:rsidRPr="000F13A7" w:rsidRDefault="00292229" w:rsidP="00292229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69FDC1DB" w14:textId="77777777" w:rsidR="00292229" w:rsidRPr="000F13A7" w:rsidRDefault="00292229" w:rsidP="00292229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526F8FF9" w14:textId="5D953815" w:rsidR="00292229" w:rsidRPr="006E470B" w:rsidRDefault="00292229" w:rsidP="000A5D3A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</w:t>
            </w:r>
            <w:r w:rsidR="006E47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92229" w:rsidRPr="000F13A7" w14:paraId="62F29B5F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381642FF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4914F07A" w14:textId="40955EE3" w:rsidR="00292229" w:rsidRPr="000F13A7" w:rsidRDefault="00292229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435A48DE" w14:textId="43D8B505" w:rsidR="00292229" w:rsidRPr="006E470B" w:rsidRDefault="00292229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6E470B">
              <w:rPr>
                <w:rFonts w:cs="Arial"/>
                <w:sz w:val="22"/>
                <w:szCs w:val="22"/>
              </w:rPr>
              <w:t>This include</w:t>
            </w:r>
            <w:r w:rsidR="006E470B" w:rsidRPr="006E470B">
              <w:rPr>
                <w:rFonts w:cs="Arial"/>
                <w:sz w:val="22"/>
                <w:szCs w:val="22"/>
              </w:rPr>
              <w:t>s</w:t>
            </w:r>
            <w:r w:rsidRPr="006E470B">
              <w:rPr>
                <w:rFonts w:cs="Arial"/>
                <w:sz w:val="22"/>
                <w:szCs w:val="22"/>
              </w:rPr>
              <w:t xml:space="preserve">: </w:t>
            </w:r>
          </w:p>
          <w:p w14:paraId="79AA5099" w14:textId="77777777" w:rsidR="00292229" w:rsidRPr="006E470B" w:rsidRDefault="00292229" w:rsidP="0029222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6E470B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6E470B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15E309A0" w14:textId="77777777" w:rsidR="00292229" w:rsidRPr="006E470B" w:rsidRDefault="00292229" w:rsidP="0029222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470B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6E470B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6E470B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41F50555" w14:textId="77777777" w:rsidR="00292229" w:rsidRPr="006E470B" w:rsidRDefault="00292229" w:rsidP="0029222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470B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29EC2275" w14:textId="1E5906E5" w:rsidR="00292229" w:rsidRPr="006E470B" w:rsidRDefault="00292229" w:rsidP="006E470B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470B">
              <w:rPr>
                <w:rFonts w:ascii="Montserrat" w:hAnsi="Montserrat"/>
                <w:sz w:val="22"/>
                <w:szCs w:val="22"/>
              </w:rPr>
              <w:lastRenderedPageBreak/>
              <w:t>developing strategies to induct all staff when procedures are updated to ensure practice is embedded.</w:t>
            </w:r>
          </w:p>
        </w:tc>
      </w:tr>
      <w:tr w:rsidR="00292229" w:rsidRPr="000F13A7" w14:paraId="6E791A7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68C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70196613" w14:textId="586A3823" w:rsidR="00292229" w:rsidRPr="000F13A7" w:rsidRDefault="00292229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01B" w14:textId="77777777" w:rsidR="00292229" w:rsidRPr="000F13A7" w:rsidRDefault="00292229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24D5502F" w14:textId="77777777" w:rsidR="00292229" w:rsidRPr="000F13A7" w:rsidRDefault="00292229" w:rsidP="00292229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2671F3A4" w14:textId="77777777" w:rsidR="00292229" w:rsidRPr="000F13A7" w:rsidRDefault="00292229" w:rsidP="00292229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7C9CA8E0" w14:textId="77777777" w:rsidR="00292229" w:rsidRPr="000F13A7" w:rsidRDefault="00292229" w:rsidP="00292229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3A8A80B9" w14:textId="54D5B9F4" w:rsidR="00292229" w:rsidRPr="006E470B" w:rsidRDefault="00292229" w:rsidP="006E470B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</w:t>
            </w:r>
            <w:r w:rsidR="006E470B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292229" w:rsidRPr="000F13A7" w14:paraId="0D23508D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36F9183B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292229" w:rsidRPr="000F13A7" w14:paraId="2775725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EC8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General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2EB" w14:textId="77777777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Parents or carers are required to pay full fees for their child’s attendance at preschool, unless they are eligible for a reduced rate, fee relief or an exemption.</w:t>
            </w:r>
          </w:p>
          <w:p w14:paraId="0E6F970F" w14:textId="77777777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</w:t>
            </w:r>
            <w:hyperlink r:id="rId14" w:anchor="Preschool5" w:history="1">
              <w:r w:rsidRPr="000F13A7">
                <w:rPr>
                  <w:rStyle w:val="Hyperlink"/>
                  <w:rFonts w:ascii="Montserrat" w:hAnsi="Montserrat"/>
                  <w:sz w:val="22"/>
                </w:rPr>
                <w:t>preschool fee schedule</w:t>
              </w:r>
            </w:hyperlink>
            <w:r w:rsidRPr="000F13A7">
              <w:rPr>
                <w:rStyle w:val="Hyperlink"/>
                <w:rFonts w:ascii="Montserrat" w:hAnsi="Montserrat"/>
                <w:sz w:val="22"/>
              </w:rPr>
              <w:t xml:space="preserve">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is based on the </w:t>
            </w:r>
            <w:hyperlink r:id="rId15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</w:rPr>
                <w:t>Preschool Class Fees in Government Schools policy</w:t>
              </w:r>
            </w:hyperlink>
            <w:r w:rsidRPr="000F13A7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6A02CB13" w14:textId="3382281B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Cs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Fees are set with reference to the relative Index of Community Socio-Educational Advantage (ICSEA) value of the school. </w:t>
            </w:r>
            <w:r w:rsidRPr="0062555E">
              <w:rPr>
                <w:rFonts w:ascii="Montserrat" w:hAnsi="Montserrat"/>
                <w:sz w:val="22"/>
                <w:szCs w:val="22"/>
              </w:rPr>
              <w:t xml:space="preserve">Note - the school’s current ICSEA value can be sourced from the </w:t>
            </w:r>
            <w:hyperlink r:id="rId16" w:history="1">
              <w:r w:rsidRPr="0062555E">
                <w:rPr>
                  <w:rStyle w:val="Hyperlink"/>
                  <w:rFonts w:ascii="Montserrat" w:hAnsi="Montserrat"/>
                  <w:color w:val="auto"/>
                  <w:sz w:val="22"/>
                  <w:szCs w:val="22"/>
                </w:rPr>
                <w:t>My School Website</w:t>
              </w:r>
            </w:hyperlink>
            <w:r w:rsidRPr="0062555E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083593B0" w14:textId="77777777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Information about fees is included in the family information booklet:</w:t>
            </w:r>
          </w:p>
          <w:p w14:paraId="0A6F7D1D" w14:textId="77777777" w:rsidR="00292229" w:rsidRPr="000F13A7" w:rsidRDefault="00292229" w:rsidP="00292229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the daily rate</w:t>
            </w:r>
          </w:p>
          <w:p w14:paraId="721F8185" w14:textId="77777777" w:rsidR="00292229" w:rsidRPr="000F13A7" w:rsidRDefault="00292229" w:rsidP="00292229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the reduced rate and eligibility criteria for this</w:t>
            </w:r>
          </w:p>
          <w:p w14:paraId="3DB8D02A" w14:textId="77777777" w:rsidR="00292229" w:rsidRPr="000F13A7" w:rsidRDefault="00292229" w:rsidP="00292229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how and when invoices are issued</w:t>
            </w:r>
          </w:p>
          <w:p w14:paraId="7616B70B" w14:textId="77777777" w:rsidR="00292229" w:rsidRPr="000F13A7" w:rsidRDefault="00292229" w:rsidP="00292229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how fees can be paid</w:t>
            </w:r>
          </w:p>
          <w:p w14:paraId="1F29F3AA" w14:textId="42ADE998" w:rsidR="00292229" w:rsidRPr="00320E01" w:rsidRDefault="00292229" w:rsidP="00320E01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what a family is to do if they can’t pay their child’s fees. </w:t>
            </w:r>
          </w:p>
        </w:tc>
      </w:tr>
      <w:tr w:rsidR="00292229" w:rsidRPr="000F13A7" w14:paraId="24C50D37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5FB116B3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Daily rates and invoices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27C0C4B8" w14:textId="53DF4302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daily fee rate is</w:t>
            </w:r>
            <w:r w:rsidR="0062555E">
              <w:rPr>
                <w:rFonts w:ascii="Montserrat" w:hAnsi="Montserrat"/>
                <w:sz w:val="22"/>
                <w:szCs w:val="22"/>
              </w:rPr>
              <w:t xml:space="preserve"> $30.</w:t>
            </w:r>
          </w:p>
          <w:p w14:paraId="29478BB4" w14:textId="3EB9E931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 reduced rate applies for 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>Commonwealth Health Card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holders and Aboriginal or Torres Strait Islander children. The reduced daily rate is </w:t>
            </w:r>
            <w:r w:rsidR="00DF6235">
              <w:rPr>
                <w:rFonts w:ascii="Montserrat" w:hAnsi="Montserrat"/>
                <w:sz w:val="22"/>
                <w:szCs w:val="22"/>
              </w:rPr>
              <w:t>$15.</w:t>
            </w:r>
          </w:p>
          <w:p w14:paraId="38C74F75" w14:textId="7708A9AA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Fee reductions or exemptions can be granted at the principal’s discretion. </w:t>
            </w:r>
            <w:r w:rsidR="00AA1172">
              <w:rPr>
                <w:rFonts w:ascii="Montserrat" w:hAnsi="Montserrat"/>
                <w:sz w:val="22"/>
                <w:szCs w:val="22"/>
              </w:rPr>
              <w:t xml:space="preserve">If a family </w:t>
            </w:r>
            <w:r w:rsidR="007269AC">
              <w:rPr>
                <w:rFonts w:ascii="Montserrat" w:hAnsi="Montserrat"/>
                <w:sz w:val="22"/>
                <w:szCs w:val="22"/>
              </w:rPr>
              <w:t xml:space="preserve">is seeking a fee reduction </w:t>
            </w:r>
            <w:r w:rsidRPr="0044554D">
              <w:rPr>
                <w:rFonts w:ascii="Montserrat" w:hAnsi="Montserrat"/>
                <w:sz w:val="22"/>
                <w:szCs w:val="22"/>
              </w:rPr>
              <w:t>or exemption</w:t>
            </w:r>
            <w:r w:rsidR="007269AC" w:rsidRPr="0044554D">
              <w:rPr>
                <w:rFonts w:ascii="Montserrat" w:hAnsi="Montserrat"/>
                <w:sz w:val="22"/>
                <w:szCs w:val="22"/>
              </w:rPr>
              <w:t xml:space="preserve"> they are to have a meeting with the principal to discuss </w:t>
            </w:r>
            <w:r w:rsidR="0044554D" w:rsidRPr="0044554D">
              <w:rPr>
                <w:rFonts w:ascii="Montserrat" w:hAnsi="Montserrat"/>
                <w:sz w:val="22"/>
                <w:szCs w:val="22"/>
              </w:rPr>
              <w:t>what can be arranged. A</w:t>
            </w:r>
            <w:r w:rsidRPr="0044554D">
              <w:rPr>
                <w:rFonts w:ascii="Montserrat" w:hAnsi="Montserrat"/>
                <w:sz w:val="22"/>
                <w:szCs w:val="22"/>
              </w:rPr>
              <w:t xml:space="preserve"> record is kept of any reductions or exemptions</w:t>
            </w:r>
            <w:r w:rsidR="0044554D" w:rsidRPr="0044554D">
              <w:rPr>
                <w:rFonts w:ascii="Montserrat" w:hAnsi="Montserrat"/>
                <w:sz w:val="22"/>
                <w:szCs w:val="22"/>
              </w:rPr>
              <w:t xml:space="preserve"> in the school office.</w:t>
            </w:r>
          </w:p>
          <w:p w14:paraId="3AE95740" w14:textId="4EF9591A" w:rsidR="00292229" w:rsidRPr="00FE3B23" w:rsidRDefault="00292229" w:rsidP="00FE3B23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Families are invoiced for the days their child is enrolled and that the preschool is open.</w:t>
            </w:r>
            <w:r w:rsidR="00343345">
              <w:rPr>
                <w:rFonts w:ascii="Montserrat" w:hAnsi="Montserrat"/>
                <w:sz w:val="22"/>
                <w:szCs w:val="22"/>
              </w:rPr>
              <w:t xml:space="preserve"> The invoices are generated by the school office staff. They are mailed out to families</w:t>
            </w:r>
            <w:r w:rsidR="008C6449">
              <w:rPr>
                <w:rFonts w:ascii="Montserrat" w:hAnsi="Montserrat"/>
                <w:sz w:val="22"/>
                <w:szCs w:val="22"/>
              </w:rPr>
              <w:t xml:space="preserve"> each term.</w:t>
            </w:r>
          </w:p>
        </w:tc>
      </w:tr>
      <w:tr w:rsidR="00292229" w:rsidRPr="000F13A7" w14:paraId="6948F5E4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698BE17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Paying fees</w:t>
            </w:r>
          </w:p>
        </w:tc>
        <w:tc>
          <w:tcPr>
            <w:tcW w:w="8418" w:type="dxa"/>
            <w:gridSpan w:val="2"/>
          </w:tcPr>
          <w:p w14:paraId="1CC13A4B" w14:textId="3FA93C87" w:rsidR="00292229" w:rsidRPr="000F13A7" w:rsidRDefault="00292229" w:rsidP="0029222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Families are able to pay their preschool fees at the school office</w:t>
            </w:r>
            <w:r w:rsidR="00B167EB">
              <w:rPr>
                <w:rFonts w:ascii="Montserrat" w:hAnsi="Montserrat"/>
                <w:sz w:val="22"/>
                <w:szCs w:val="22"/>
              </w:rPr>
              <w:t xml:space="preserve"> or online using the school online payment </w:t>
            </w:r>
            <w:r w:rsidR="00156174">
              <w:rPr>
                <w:rFonts w:ascii="Montserrat" w:hAnsi="Montserrat"/>
                <w:sz w:val="22"/>
                <w:szCs w:val="22"/>
              </w:rPr>
              <w:t>platform</w:t>
            </w:r>
            <w:r w:rsidRPr="000F13A7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06DD0D04" w14:textId="1B4C34B8" w:rsidR="00292229" w:rsidRPr="00156174" w:rsidRDefault="00292229" w:rsidP="00156174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In the case of non - payment of fees, the </w:t>
            </w:r>
            <w:r w:rsidRPr="000F13A7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principal will follow up fees that have been outstanding for one month and develop a plan for </w:t>
            </w:r>
            <w:r w:rsidRPr="000F13A7">
              <w:rPr>
                <w:rFonts w:ascii="Montserrat" w:hAnsi="Montserrat"/>
                <w:sz w:val="22"/>
                <w:szCs w:val="22"/>
                <w:shd w:val="clear" w:color="auto" w:fill="FFFFFF"/>
              </w:rPr>
              <w:lastRenderedPageBreak/>
              <w:t xml:space="preserve">fee recovery, as per the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guidelines in section 13.2.4 in the </w:t>
            </w:r>
            <w:hyperlink r:id="rId17" w:anchor="Section_133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</w:rPr>
                <w:t>Finance in Schools Handbook (FISH</w:t>
              </w:r>
            </w:hyperlink>
            <w:r w:rsidRPr="000F13A7">
              <w:rPr>
                <w:rFonts w:ascii="Montserrat" w:hAnsi="Montserrat"/>
                <w:sz w:val="22"/>
                <w:szCs w:val="22"/>
              </w:rPr>
              <w:t>).</w:t>
            </w:r>
          </w:p>
        </w:tc>
      </w:tr>
      <w:tr w:rsidR="002947E3" w:rsidRPr="000F13A7" w14:paraId="737189AC" w14:textId="77777777" w:rsidTr="001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73DAF508" w14:textId="644BE4FD" w:rsidR="002947E3" w:rsidRPr="000F13A7" w:rsidRDefault="002947E3" w:rsidP="002947E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>
              <w:rPr>
                <w:rFonts w:cs="Arial"/>
                <w:b/>
                <w:bCs/>
                <w:szCs w:val="22"/>
                <w:lang w:eastAsia="zh-CN"/>
              </w:rPr>
              <w:lastRenderedPageBreak/>
              <w:t xml:space="preserve">Start Strong for families 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31F73323" w14:textId="550C44D4" w:rsidR="002947E3" w:rsidRPr="000F13A7" w:rsidRDefault="002947E3" w:rsidP="002947E3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At present the Preschool fees have been waived for all families by the DoE</w:t>
            </w:r>
            <w:r>
              <w:rPr>
                <w:rFonts w:ascii="Montserrat" w:hAnsi="Montserrat"/>
                <w:sz w:val="22"/>
                <w:szCs w:val="22"/>
              </w:rPr>
              <w:t xml:space="preserve"> as part of the Start Strong program </w:t>
            </w:r>
          </w:p>
        </w:tc>
      </w:tr>
    </w:tbl>
    <w:p w14:paraId="2F0E28CF" w14:textId="77777777" w:rsidR="00292229" w:rsidRPr="000F13A7" w:rsidRDefault="00292229" w:rsidP="00292229">
      <w:pPr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292229" w:rsidRPr="000F13A7" w14:paraId="3A9B3DDB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4D406623" w14:textId="77777777" w:rsidR="00292229" w:rsidRPr="000F13A7" w:rsidRDefault="00292229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292229" w:rsidRPr="000F13A7" w14:paraId="66994C5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0A0DF09" w14:textId="77777777" w:rsidR="00292229" w:rsidRPr="000F13A7" w:rsidRDefault="0029222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0E486C" w:rsidRPr="000F13A7" w14:paraId="5BA78E6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C7A3262" w14:textId="0C6133A8" w:rsidR="000E486C" w:rsidRDefault="000E486C" w:rsidP="000E486C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B069B5">
              <w:rPr>
                <w:rFonts w:cs="Arial"/>
                <w:szCs w:val="22"/>
                <w:lang w:eastAsia="zh-CN"/>
              </w:rPr>
              <w:t>8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B069B5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/2021</w:t>
            </w:r>
          </w:p>
          <w:p w14:paraId="22135B70" w14:textId="2E544422" w:rsidR="000E486C" w:rsidRPr="000F13A7" w:rsidRDefault="00B069B5" w:rsidP="000E486C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Reviewed by the preschool team:</w:t>
            </w:r>
            <w:r w:rsidR="000E486C">
              <w:rPr>
                <w:rFonts w:cs="Arial"/>
                <w:szCs w:val="22"/>
                <w:lang w:eastAsia="zh-CN"/>
              </w:rPr>
              <w:t xml:space="preserve"> Louise Dittberner, Jo Morgan and </w:t>
            </w:r>
            <w:r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0E486C" w:rsidRPr="000F13A7" w14:paraId="2A489C2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60E365E" w14:textId="3F46B3B8" w:rsidR="000E486C" w:rsidRPr="000F13A7" w:rsidRDefault="000E486C" w:rsidP="000E486C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0E486C" w:rsidRPr="000F13A7" w14:paraId="645EFEDA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E9B3C24" w14:textId="54DB0F9E" w:rsidR="000E486C" w:rsidRPr="000F13A7" w:rsidRDefault="00B069B5" w:rsidP="000E486C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Fees currently waived </w:t>
            </w:r>
            <w:r w:rsidR="00FE2FB0">
              <w:rPr>
                <w:rFonts w:cs="Arial"/>
                <w:szCs w:val="22"/>
                <w:lang w:eastAsia="zh-CN"/>
              </w:rPr>
              <w:t xml:space="preserve">for 2022. </w:t>
            </w:r>
            <w:r w:rsidR="000E486C"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0E486C" w:rsidRPr="000F13A7" w14:paraId="319005F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B63DFDE" w14:textId="2EC76DDC" w:rsidR="000E486C" w:rsidRPr="000F13A7" w:rsidRDefault="000E486C" w:rsidP="000E486C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0E486C" w:rsidRPr="000F13A7" w14:paraId="7F095324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D42998B" w14:textId="4DDD98B0" w:rsidR="000E486C" w:rsidRPr="000F13A7" w:rsidRDefault="00FE2FB0" w:rsidP="000E486C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At informal staff meeting</w:t>
            </w:r>
          </w:p>
        </w:tc>
      </w:tr>
    </w:tbl>
    <w:p w14:paraId="41597DC5" w14:textId="77777777" w:rsidR="002947E3" w:rsidRDefault="002947E3" w:rsidP="00292229">
      <w:pPr>
        <w:ind w:left="-142"/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2947E3" w:rsidRPr="000F13A7" w14:paraId="0CE7267C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2917B0D2" w14:textId="77777777" w:rsidR="002947E3" w:rsidRPr="000F13A7" w:rsidRDefault="002947E3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2947E3" w:rsidRPr="000F13A7" w14:paraId="3B5A3421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ABC0D62" w14:textId="77777777" w:rsidR="002947E3" w:rsidRPr="000F13A7" w:rsidRDefault="002947E3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2947E3" w:rsidRPr="000F13A7" w14:paraId="1C0BF915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E8EB36D" w14:textId="1E55EBEE" w:rsidR="002947E3" w:rsidRDefault="002947E3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1386237C" w14:textId="6A2BC444" w:rsidR="002947E3" w:rsidRPr="000F13A7" w:rsidRDefault="002947E3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P</w:t>
            </w:r>
            <w:r>
              <w:rPr>
                <w:rFonts w:cs="Arial"/>
                <w:szCs w:val="22"/>
                <w:lang w:eastAsia="zh-CN"/>
              </w:rPr>
              <w:t>reschool team</w:t>
            </w:r>
            <w:r>
              <w:rPr>
                <w:rFonts w:cs="Arial"/>
                <w:szCs w:val="22"/>
                <w:lang w:eastAsia="zh-CN"/>
              </w:rPr>
              <w:t>- Kristen Rowe,</w:t>
            </w:r>
            <w:r>
              <w:rPr>
                <w:rFonts w:cs="Arial"/>
                <w:szCs w:val="22"/>
                <w:lang w:eastAsia="zh-CN"/>
              </w:rPr>
              <w:t xml:space="preserve"> 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>, Jo Morgan and Nicole Budden</w:t>
            </w:r>
          </w:p>
        </w:tc>
      </w:tr>
      <w:tr w:rsidR="002947E3" w:rsidRPr="000F13A7" w14:paraId="6E38887C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25F547A" w14:textId="77777777" w:rsidR="002947E3" w:rsidRPr="000F13A7" w:rsidRDefault="002947E3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2947E3" w:rsidRPr="000F13A7" w14:paraId="63A67B83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9D8F7C8" w14:textId="34E3E1DD" w:rsidR="002947E3" w:rsidRPr="000F13A7" w:rsidRDefault="002947E3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Fees currently waived for 202</w:t>
            </w:r>
            <w:r>
              <w:rPr>
                <w:rFonts w:cs="Arial"/>
                <w:szCs w:val="22"/>
                <w:lang w:eastAsia="zh-CN"/>
              </w:rPr>
              <w:t xml:space="preserve">3 part of the Start Strong program </w:t>
            </w:r>
          </w:p>
        </w:tc>
      </w:tr>
      <w:tr w:rsidR="002947E3" w:rsidRPr="000F13A7" w14:paraId="34CE22D5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4DD31DA" w14:textId="77777777" w:rsidR="002947E3" w:rsidRPr="000F13A7" w:rsidRDefault="002947E3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2947E3" w:rsidRPr="000F13A7" w14:paraId="1ED203D3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1B066A" w14:textId="77777777" w:rsidR="002947E3" w:rsidRPr="000F13A7" w:rsidRDefault="002947E3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At informal staff meeting</w:t>
            </w:r>
          </w:p>
        </w:tc>
      </w:tr>
    </w:tbl>
    <w:p w14:paraId="68F8BA80" w14:textId="77777777" w:rsidR="002947E3" w:rsidRPr="002947E3" w:rsidRDefault="002947E3" w:rsidP="00292229">
      <w:pPr>
        <w:ind w:left="-142"/>
        <w:rPr>
          <w:rFonts w:cs="Arial"/>
          <w:iCs/>
        </w:rPr>
      </w:pPr>
    </w:p>
    <w:p w14:paraId="4133C49A" w14:textId="487165C1" w:rsidR="00B76EB2" w:rsidRDefault="00292229" w:rsidP="00292229">
      <w:pPr>
        <w:ind w:left="-142"/>
      </w:pPr>
      <w:r w:rsidRPr="000F13A7">
        <w:rPr>
          <w:rFonts w:cs="Arial"/>
          <w:i/>
        </w:rPr>
        <w:t>Copy and paste a new table to record each occasion the procedure is reviewed.</w:t>
      </w:r>
    </w:p>
    <w:sectPr w:rsidR="00B76EB2" w:rsidSect="00292229">
      <w:pgSz w:w="11906" w:h="16838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852"/>
    <w:multiLevelType w:val="hybridMultilevel"/>
    <w:tmpl w:val="A9B61854"/>
    <w:lvl w:ilvl="0" w:tplc="D362E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00901">
    <w:abstractNumId w:val="4"/>
  </w:num>
  <w:num w:numId="2" w16cid:durableId="170531588">
    <w:abstractNumId w:val="5"/>
  </w:num>
  <w:num w:numId="3" w16cid:durableId="338822343">
    <w:abstractNumId w:val="3"/>
  </w:num>
  <w:num w:numId="4" w16cid:durableId="1107038456">
    <w:abstractNumId w:val="0"/>
  </w:num>
  <w:num w:numId="5" w16cid:durableId="1430471164">
    <w:abstractNumId w:val="1"/>
  </w:num>
  <w:num w:numId="6" w16cid:durableId="667710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29"/>
    <w:rsid w:val="000E486C"/>
    <w:rsid w:val="00156174"/>
    <w:rsid w:val="00292229"/>
    <w:rsid w:val="002947E3"/>
    <w:rsid w:val="00320E01"/>
    <w:rsid w:val="00343345"/>
    <w:rsid w:val="0044554D"/>
    <w:rsid w:val="0062555E"/>
    <w:rsid w:val="006E470B"/>
    <w:rsid w:val="007269AC"/>
    <w:rsid w:val="007E0E61"/>
    <w:rsid w:val="008C6449"/>
    <w:rsid w:val="00AA1172"/>
    <w:rsid w:val="00B069B5"/>
    <w:rsid w:val="00B167EB"/>
    <w:rsid w:val="00B76EB2"/>
    <w:rsid w:val="00DF6235"/>
    <w:rsid w:val="00FE2FB0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3F78"/>
  <w15:chartTrackingRefBased/>
  <w15:docId w15:val="{D19DF7A6-CE09-4BBE-B92E-12DCFEF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92229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29222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292229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292229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292229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Paragraph">
    <w:name w:val="List Paragraph"/>
    <w:basedOn w:val="Normal"/>
    <w:uiPriority w:val="1"/>
    <w:qFormat/>
    <w:rsid w:val="00292229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ucation.nsw.gov.au/teaching-and-learning/curriculum/early-learning/department-preschools/enrol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policy-library/policies/voluntary-school-contribution" TargetMode="External"/><Relationship Id="rId17" Type="http://schemas.openxmlformats.org/officeDocument/2006/relationships/hyperlink" Target="https://education.nsw.gov.au/schools-finance/policies-handbooks/Finance-in-Schools-Handbo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school.edu.au/school/4198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schools-finance/policies-handbooks/Finance-in-Schools-Handbook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nsw.gov.au/policy-library/policies/preschool-class-fees-in-government-schools?refid=285867" TargetMode="External"/><Relationship Id="rId10" Type="http://schemas.openxmlformats.org/officeDocument/2006/relationships/hyperlink" Target="https://education.nsw.gov.au/policy-library/policies/preschool-class-fees-in-government-school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4" Type="http://schemas.openxmlformats.org/officeDocument/2006/relationships/hyperlink" Target="https://education.nsw.gov.au/teaching-and-learning/curriculum/early-learning/department-preschools/enro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1B83D-B5B9-4693-BC58-51C942183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4B418-4226-494E-8AC8-1C388D59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B7F38-F282-4BE5-B157-B334794F6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2023-06-01T00:50:00Z</dcterms:created>
  <dcterms:modified xsi:type="dcterms:W3CDTF">2023-06-01T01:00:00Z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